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04" w:rsidRDefault="009F7D04" w:rsidP="009F7D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3-Year Study Plan for the B.A. in English</w:t>
      </w:r>
    </w:p>
    <w:p w:rsidR="009F7D04" w:rsidRDefault="009F7D04" w:rsidP="009F7D04">
      <w:pPr>
        <w:rPr>
          <w:rFonts w:ascii="Times New Roman" w:hAnsi="Times New Roman"/>
          <w:szCs w:val="24"/>
        </w:rPr>
      </w:pPr>
    </w:p>
    <w:p w:rsidR="009F7D04" w:rsidRPr="00650B51" w:rsidRDefault="009F7D04" w:rsidP="009F7D04">
      <w:pPr>
        <w:rPr>
          <w:rFonts w:ascii="Times New Roman" w:hAnsi="Times New Roman"/>
          <w:szCs w:val="24"/>
        </w:rPr>
      </w:pPr>
      <w:r w:rsidRPr="00650B51">
        <w:rPr>
          <w:rFonts w:ascii="Times New Roman" w:hAnsi="Times New Roman"/>
          <w:szCs w:val="24"/>
        </w:rPr>
        <w:t xml:space="preserve">The table below is a </w:t>
      </w:r>
      <w:r w:rsidRPr="00650B51">
        <w:rPr>
          <w:rFonts w:ascii="Times New Roman" w:hAnsi="Times New Roman"/>
          <w:szCs w:val="24"/>
          <w:u w:val="single"/>
        </w:rPr>
        <w:t>sample</w:t>
      </w:r>
      <w:r w:rsidRPr="00650B51">
        <w:rPr>
          <w:rFonts w:ascii="Times New Roman" w:hAnsi="Times New Roman"/>
          <w:szCs w:val="24"/>
        </w:rPr>
        <w:t xml:space="preserve"> table that would represent the progress of a </w:t>
      </w:r>
      <w:r w:rsidRPr="00650B51">
        <w:rPr>
          <w:rFonts w:ascii="Times New Roman" w:hAnsi="Times New Roman"/>
          <w:szCs w:val="24"/>
          <w:u w:val="single"/>
        </w:rPr>
        <w:t>specific</w:t>
      </w:r>
      <w:r w:rsidRPr="00650B51">
        <w:rPr>
          <w:rFonts w:ascii="Times New Roman" w:hAnsi="Times New Roman"/>
          <w:szCs w:val="24"/>
        </w:rPr>
        <w:t xml:space="preserve"> student who, in addition to the </w:t>
      </w:r>
      <w:r w:rsidRPr="00650B51">
        <w:rPr>
          <w:rFonts w:ascii="Times New Roman" w:hAnsi="Times New Roman"/>
          <w:color w:val="FF0000"/>
          <w:szCs w:val="24"/>
        </w:rPr>
        <w:t>24 credits of major core courses</w:t>
      </w:r>
      <w:r w:rsidRPr="00650B51">
        <w:rPr>
          <w:rFonts w:ascii="Times New Roman" w:hAnsi="Times New Roman"/>
          <w:szCs w:val="24"/>
        </w:rPr>
        <w:t xml:space="preserve">, has chosen </w:t>
      </w:r>
      <w:r w:rsidRPr="00650B51">
        <w:rPr>
          <w:rFonts w:ascii="Times New Roman" w:hAnsi="Times New Roman"/>
          <w:color w:val="FF0000"/>
          <w:szCs w:val="24"/>
        </w:rPr>
        <w:t>15 credits of literature, 3 credits of language, and 6 credits of writing</w:t>
      </w:r>
      <w:r w:rsidRPr="00650B51">
        <w:rPr>
          <w:rFonts w:ascii="Times New Roman" w:hAnsi="Times New Roman"/>
          <w:szCs w:val="24"/>
        </w:rPr>
        <w:t xml:space="preserve">. This is </w:t>
      </w:r>
      <w:r>
        <w:rPr>
          <w:rFonts w:ascii="Times New Roman" w:hAnsi="Times New Roman"/>
          <w:szCs w:val="24"/>
          <w:u w:val="single"/>
        </w:rPr>
        <w:t>1</w:t>
      </w:r>
      <w:r w:rsidRPr="00650B51">
        <w:rPr>
          <w:rFonts w:ascii="Times New Roman" w:hAnsi="Times New Roman"/>
          <w:szCs w:val="24"/>
          <w:u w:val="single"/>
        </w:rPr>
        <w:t>of the 6 possibilities</w:t>
      </w:r>
      <w:r w:rsidRPr="00650B51">
        <w:rPr>
          <w:rFonts w:ascii="Times New Roman" w:hAnsi="Times New Roman"/>
          <w:szCs w:val="24"/>
        </w:rPr>
        <w:t xml:space="preserve"> of credit distribution among literature, language, and writing as recognized by the Registrar’s Office and specified on the Student’s Contract Sheet. </w:t>
      </w:r>
      <w:r>
        <w:rPr>
          <w:rFonts w:ascii="Times New Roman" w:hAnsi="Times New Roman"/>
          <w:szCs w:val="24"/>
        </w:rPr>
        <w:t>It is not possible to be more precise at this point, especially because we cannot predict which new writing courses will be offered when</w:t>
      </w:r>
      <w:bookmarkStart w:id="0" w:name="_GoBack"/>
      <w:bookmarkEnd w:id="0"/>
      <w:r>
        <w:rPr>
          <w:rFonts w:ascii="Times New Roman" w:hAnsi="Times New Roman"/>
          <w:szCs w:val="24"/>
        </w:rPr>
        <w:t>.</w:t>
      </w:r>
      <w:r w:rsidRPr="00650B51">
        <w:rPr>
          <w:rFonts w:ascii="Times New Roman" w:hAnsi="Times New Roman"/>
          <w:szCs w:val="24"/>
        </w:rPr>
        <w:t xml:space="preserve"> </w:t>
      </w:r>
    </w:p>
    <w:p w:rsidR="009F7D04" w:rsidRPr="00650B51" w:rsidRDefault="009F7D04" w:rsidP="009F7D04">
      <w:pPr>
        <w:rPr>
          <w:rFonts w:ascii="Times New Roman" w:hAnsi="Times New Roman"/>
          <w:b/>
          <w:szCs w:val="24"/>
        </w:rPr>
      </w:pP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5145"/>
      </w:tblGrid>
      <w:tr w:rsidR="009F7D04" w:rsidRPr="00650B51" w:rsidTr="00B163D6">
        <w:tc>
          <w:tcPr>
            <w:tcW w:w="9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2626"/>
            <w:hideMark/>
          </w:tcPr>
          <w:p w:rsidR="009F7D04" w:rsidRPr="00650B51" w:rsidRDefault="009F7D04" w:rsidP="00B163D6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b/>
                <w:bCs/>
                <w:szCs w:val="24"/>
              </w:rPr>
              <w:t>Year 1</w:t>
            </w: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F7D04" w:rsidRPr="00650B51" w:rsidRDefault="009F7D04" w:rsidP="00B163D6">
            <w:pPr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b/>
                <w:bCs/>
                <w:szCs w:val="24"/>
              </w:rPr>
              <w:t>Fall (16cr)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F7D04" w:rsidRPr="00650B51" w:rsidRDefault="009F7D04" w:rsidP="00B163D6">
            <w:pPr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b/>
                <w:bCs/>
                <w:szCs w:val="24"/>
              </w:rPr>
              <w:t>Spring (16cr)</w:t>
            </w:r>
          </w:p>
        </w:tc>
      </w:tr>
      <w:tr w:rsidR="009F7D04" w:rsidRPr="00650B51" w:rsidTr="00B163D6">
        <w:trPr>
          <w:trHeight w:val="550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>ENG202 (3cr) Sophomore Rhetoric (LAC core)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>ENG203 (3cr) Oral Communication (LAC core)</w:t>
            </w: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ENG213 (3cr) Intro to Language (Major core)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ENG281 (3cr) Language &amp; Change (Major core)</w:t>
            </w:r>
          </w:p>
        </w:tc>
      </w:tr>
      <w:tr w:rsidR="009F7D04" w:rsidRPr="00650B51" w:rsidTr="00B163D6">
        <w:trPr>
          <w:trHeight w:val="523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ENG216 (3cr) Intro to Literature (Major core)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ENG372 (3cr) Comparative &amp; World Lit. (Major core)</w:t>
            </w:r>
          </w:p>
        </w:tc>
      </w:tr>
      <w:tr w:rsidR="009F7D04" w:rsidRPr="00650B51" w:rsidTr="00B163D6">
        <w:trPr>
          <w:trHeight w:val="577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ENG324 (3cr) Medieval Literature (Major literature option)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>Free elective (3cr)</w:t>
            </w:r>
          </w:p>
        </w:tc>
      </w:tr>
      <w:tr w:rsidR="009F7D04" w:rsidRPr="00650B51" w:rsidTr="00B163D6">
        <w:trPr>
          <w:trHeight w:val="577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>CST2xx (3cr) Cultural Studies (LAC elective)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 xml:space="preserve">ENV200 (3cr) Intro to </w:t>
            </w:r>
            <w:proofErr w:type="spellStart"/>
            <w:r w:rsidRPr="00650B51">
              <w:rPr>
                <w:rFonts w:ascii="Times New Roman" w:eastAsia="Calibri" w:hAnsi="Times New Roman"/>
                <w:szCs w:val="24"/>
              </w:rPr>
              <w:t>Environm</w:t>
            </w:r>
            <w:proofErr w:type="spellEnd"/>
            <w:r w:rsidRPr="00650B51">
              <w:rPr>
                <w:rFonts w:ascii="Times New Roman" w:eastAsia="Calibri" w:hAnsi="Times New Roman"/>
                <w:szCs w:val="24"/>
              </w:rPr>
              <w:t>. Science (LAC elective)</w:t>
            </w: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  <w:lang w:val="fr-FR"/>
              </w:rPr>
            </w:pP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  <w:lang w:val="fr-FR"/>
              </w:rPr>
            </w:pPr>
            <w:r w:rsidRPr="00650B51">
              <w:rPr>
                <w:rFonts w:ascii="Times New Roman" w:eastAsia="Calibri" w:hAnsi="Times New Roman"/>
                <w:szCs w:val="24"/>
                <w:lang w:val="fr-FR"/>
              </w:rPr>
              <w:t xml:space="preserve">CSC201 (1cr) </w:t>
            </w:r>
            <w:proofErr w:type="spellStart"/>
            <w:r w:rsidRPr="00650B51">
              <w:rPr>
                <w:rFonts w:ascii="Times New Roman" w:eastAsia="Calibri" w:hAnsi="Times New Roman"/>
                <w:szCs w:val="24"/>
                <w:lang w:val="fr-FR"/>
              </w:rPr>
              <w:t>Comp</w:t>
            </w:r>
            <w:proofErr w:type="spellEnd"/>
            <w:r w:rsidRPr="00650B51">
              <w:rPr>
                <w:rFonts w:ascii="Times New Roman" w:eastAsia="Calibri" w:hAnsi="Times New Roman"/>
                <w:szCs w:val="24"/>
                <w:lang w:val="fr-FR"/>
              </w:rPr>
              <w:t xml:space="preserve">. Applications (LAC </w:t>
            </w:r>
            <w:proofErr w:type="spellStart"/>
            <w:r w:rsidRPr="00650B51">
              <w:rPr>
                <w:rFonts w:ascii="Times New Roman" w:eastAsia="Calibri" w:hAnsi="Times New Roman"/>
                <w:szCs w:val="24"/>
                <w:lang w:val="fr-FR"/>
              </w:rPr>
              <w:t>core</w:t>
            </w:r>
            <w:proofErr w:type="spellEnd"/>
            <w:r w:rsidRPr="00650B51">
              <w:rPr>
                <w:rFonts w:ascii="Times New Roman" w:eastAsia="Calibri" w:hAnsi="Times New Roman"/>
                <w:szCs w:val="24"/>
                <w:lang w:val="fr-FR"/>
              </w:rPr>
              <w:t>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>ETH201 (1cr) Moral Reasoning (LAC core)</w:t>
            </w:r>
          </w:p>
        </w:tc>
      </w:tr>
      <w:tr w:rsidR="009F7D04" w:rsidRPr="00650B51" w:rsidTr="00B163D6">
        <w:tc>
          <w:tcPr>
            <w:tcW w:w="9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2626"/>
            <w:hideMark/>
          </w:tcPr>
          <w:p w:rsidR="009F7D04" w:rsidRPr="00650B51" w:rsidRDefault="009F7D04" w:rsidP="00B163D6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50B51">
              <w:rPr>
                <w:rFonts w:ascii="Times New Roman" w:eastAsia="Calibri" w:hAnsi="Times New Roman"/>
                <w:b/>
                <w:bCs/>
                <w:szCs w:val="24"/>
              </w:rPr>
              <w:t>Year 2</w:t>
            </w: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F7D04" w:rsidRPr="00650B51" w:rsidRDefault="009F7D04" w:rsidP="00B163D6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</w:rPr>
            </w:pPr>
            <w:r w:rsidRPr="00650B51">
              <w:rPr>
                <w:rFonts w:ascii="Times New Roman" w:eastAsia="Calibri" w:hAnsi="Times New Roman"/>
                <w:b/>
                <w:bCs/>
                <w:szCs w:val="24"/>
              </w:rPr>
              <w:t>Fall (15cr)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F7D04" w:rsidRPr="00650B51" w:rsidRDefault="009F7D04" w:rsidP="00B163D6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</w:rPr>
            </w:pPr>
            <w:r w:rsidRPr="00650B51">
              <w:rPr>
                <w:rFonts w:ascii="Times New Roman" w:eastAsia="Calibri" w:hAnsi="Times New Roman"/>
                <w:b/>
                <w:bCs/>
                <w:szCs w:val="24"/>
              </w:rPr>
              <w:t>Spring (15cr)</w:t>
            </w: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ENG303 (3cr) Literary Linguistics (Major core)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ENG342 (3cr) Modernism &amp; Beyond (Major literature option)</w:t>
            </w: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ENG339 (3cr) 19</w:t>
            </w:r>
            <w:r w:rsidRPr="00650B51">
              <w:rPr>
                <w:rFonts w:ascii="Times New Roman" w:eastAsia="Calibri" w:hAnsi="Times New Roman"/>
                <w:color w:val="FF0000"/>
                <w:szCs w:val="24"/>
                <w:vertAlign w:val="superscript"/>
              </w:rPr>
              <w:t>th</w:t>
            </w: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-Ct. British Novel (Major  literature option)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ENG345 (3cr) 20</w:t>
            </w:r>
            <w:r w:rsidRPr="00650B51">
              <w:rPr>
                <w:rFonts w:ascii="Times New Roman" w:eastAsia="Calibri" w:hAnsi="Times New Roman"/>
                <w:color w:val="FF0000"/>
                <w:szCs w:val="24"/>
                <w:vertAlign w:val="superscript"/>
              </w:rPr>
              <w:t>th</w:t>
            </w: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-Ct. British Novel (Major literature option)</w:t>
            </w:r>
          </w:p>
        </w:tc>
      </w:tr>
      <w:tr w:rsidR="009F7D04" w:rsidRPr="00650B51" w:rsidTr="00B163D6">
        <w:trPr>
          <w:trHeight w:val="487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 xml:space="preserve">ARA201 (3cr) </w:t>
            </w:r>
            <w:proofErr w:type="spellStart"/>
            <w:r w:rsidRPr="00650B51">
              <w:rPr>
                <w:rFonts w:ascii="Times New Roman" w:eastAsia="Calibri" w:hAnsi="Times New Roman"/>
                <w:szCs w:val="24"/>
              </w:rPr>
              <w:t>Appr</w:t>
            </w:r>
            <w:proofErr w:type="spellEnd"/>
            <w:r w:rsidRPr="00650B51">
              <w:rPr>
                <w:rFonts w:ascii="Times New Roman" w:eastAsia="Calibri" w:hAnsi="Times New Roman"/>
                <w:szCs w:val="24"/>
              </w:rPr>
              <w:t xml:space="preserve">. </w:t>
            </w:r>
            <w:proofErr w:type="gramStart"/>
            <w:r w:rsidRPr="00650B51">
              <w:rPr>
                <w:rFonts w:ascii="Times New Roman" w:eastAsia="Calibri" w:hAnsi="Times New Roman"/>
                <w:szCs w:val="24"/>
              </w:rPr>
              <w:t>of</w:t>
            </w:r>
            <w:proofErr w:type="gramEnd"/>
            <w:r w:rsidRPr="00650B51">
              <w:rPr>
                <w:rFonts w:ascii="Times New Roman" w:eastAsia="Calibri" w:hAnsi="Times New Roman"/>
                <w:szCs w:val="24"/>
              </w:rPr>
              <w:t xml:space="preserve"> Arabic Lit. (LAC core 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ENG366 (3cr) Creative Writing (Major core)</w:t>
            </w:r>
          </w:p>
        </w:tc>
      </w:tr>
      <w:tr w:rsidR="009F7D04" w:rsidRPr="00650B51" w:rsidTr="00B163D6">
        <w:trPr>
          <w:trHeight w:val="487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 xml:space="preserve">POL231 (3cr) Intro to Human Rights (LAC </w:t>
            </w:r>
            <w:r w:rsidRPr="00650B51">
              <w:rPr>
                <w:rFonts w:ascii="Times New Roman" w:eastAsia="Calibri" w:hAnsi="Times New Roman"/>
                <w:szCs w:val="24"/>
              </w:rPr>
              <w:lastRenderedPageBreak/>
              <w:t>elective)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lastRenderedPageBreak/>
              <w:t>Free elective (3cr)</w:t>
            </w: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>PHL311 (3cr) Philosophy of Religion (LAC elective)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ENG479 (3cr) Topics in Lit. &amp; Culture (Major core)</w:t>
            </w:r>
          </w:p>
        </w:tc>
      </w:tr>
      <w:tr w:rsidR="009F7D04" w:rsidRPr="00650B51" w:rsidTr="00B163D6">
        <w:tc>
          <w:tcPr>
            <w:tcW w:w="9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2626"/>
            <w:hideMark/>
          </w:tcPr>
          <w:p w:rsidR="009F7D04" w:rsidRPr="00650B51" w:rsidRDefault="009F7D04" w:rsidP="00B163D6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50B51">
              <w:rPr>
                <w:rFonts w:ascii="Times New Roman" w:eastAsia="Calibri" w:hAnsi="Times New Roman"/>
                <w:b/>
                <w:bCs/>
                <w:szCs w:val="24"/>
              </w:rPr>
              <w:t>Year 3</w:t>
            </w: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F7D04" w:rsidRPr="00650B51" w:rsidRDefault="009F7D04" w:rsidP="00B163D6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</w:rPr>
            </w:pPr>
            <w:r w:rsidRPr="00650B51">
              <w:rPr>
                <w:rFonts w:ascii="Times New Roman" w:eastAsia="Calibri" w:hAnsi="Times New Roman"/>
                <w:b/>
                <w:bCs/>
                <w:szCs w:val="24"/>
              </w:rPr>
              <w:t>Fall (16cr)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9F7D04" w:rsidRPr="00650B51" w:rsidRDefault="009F7D04" w:rsidP="00B163D6">
            <w:pPr>
              <w:spacing w:after="200" w:line="276" w:lineRule="auto"/>
              <w:rPr>
                <w:rFonts w:ascii="Times New Roman" w:eastAsia="Calibri" w:hAnsi="Times New Roman"/>
                <w:b/>
                <w:szCs w:val="24"/>
              </w:rPr>
            </w:pPr>
            <w:r w:rsidRPr="00650B51">
              <w:rPr>
                <w:rFonts w:ascii="Times New Roman" w:eastAsia="Calibri" w:hAnsi="Times New Roman"/>
                <w:b/>
                <w:bCs/>
                <w:szCs w:val="24"/>
              </w:rPr>
              <w:t>Spring (14cr)</w:t>
            </w:r>
          </w:p>
        </w:tc>
      </w:tr>
      <w:tr w:rsidR="009F7D04" w:rsidRPr="00650B51" w:rsidTr="00B163D6">
        <w:trPr>
          <w:trHeight w:val="68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ENG336 (3cr) Romantic &amp; Victorian Poetry (Major literature option)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ENG398 (3cr) Trans-media Writing (Major writing option)</w:t>
            </w:r>
          </w:p>
        </w:tc>
      </w:tr>
      <w:tr w:rsidR="009F7D04" w:rsidRPr="00650B51" w:rsidTr="00B163D6">
        <w:trPr>
          <w:trHeight w:val="32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ENG379 (3cr) Adaptation (Major writing option)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ENG499 (3cr) Senior Study (Major core)</w:t>
            </w:r>
          </w:p>
        </w:tc>
      </w:tr>
      <w:tr w:rsidR="009F7D04" w:rsidRPr="00650B51" w:rsidTr="00B163D6">
        <w:trPr>
          <w:trHeight w:val="658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50B51">
              <w:rPr>
                <w:rFonts w:ascii="Times New Roman" w:eastAsia="Calibri" w:hAnsi="Times New Roman"/>
                <w:color w:val="FF0000"/>
                <w:szCs w:val="24"/>
              </w:rPr>
              <w:t>ENG480 (3cr) Discourse &amp; Power (Major language option)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>ART431 (3cr) Modern Art (LAC elective)</w:t>
            </w: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9F7D04" w:rsidRPr="00650B51" w:rsidTr="00B163D6">
        <w:trPr>
          <w:trHeight w:val="280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>COM210 (3) Comm. Media and Society (LAC elective)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>Free elective (3cr)</w:t>
            </w:r>
          </w:p>
        </w:tc>
      </w:tr>
      <w:tr w:rsidR="009F7D04" w:rsidRPr="00650B51" w:rsidTr="00B163D6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>HLT201 (1cr) Basic Health (LAC core)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D04" w:rsidRPr="00650B51" w:rsidRDefault="009F7D04" w:rsidP="00B163D6">
            <w:pPr>
              <w:spacing w:after="120" w:line="276" w:lineRule="auto"/>
              <w:rPr>
                <w:rFonts w:ascii="Times New Roman" w:eastAsia="Calibri" w:hAnsi="Times New Roman"/>
                <w:szCs w:val="24"/>
              </w:rPr>
            </w:pPr>
            <w:r w:rsidRPr="00650B51">
              <w:rPr>
                <w:rFonts w:ascii="Times New Roman" w:eastAsia="Calibri" w:hAnsi="Times New Roman"/>
                <w:szCs w:val="24"/>
              </w:rPr>
              <w:t>PED2xx (1cr) Physical Education (LAC core)</w:t>
            </w:r>
          </w:p>
        </w:tc>
      </w:tr>
    </w:tbl>
    <w:p w:rsidR="00F72BE1" w:rsidRDefault="00F72BE1"/>
    <w:sectPr w:rsidR="00F7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04"/>
    <w:rsid w:val="009F7D04"/>
    <w:rsid w:val="00F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04"/>
    <w:pPr>
      <w:spacing w:after="0" w:line="240" w:lineRule="auto"/>
    </w:pPr>
    <w:rPr>
      <w:rFonts w:ascii="Arial" w:eastAsia="SimSu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04"/>
    <w:pPr>
      <w:spacing w:after="0" w:line="240" w:lineRule="auto"/>
    </w:pPr>
    <w:rPr>
      <w:rFonts w:ascii="Arial" w:eastAsia="SimSu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Kristiaan Aercke</dc:creator>
  <cp:lastModifiedBy>Kristiaan Aercke</cp:lastModifiedBy>
  <cp:revision>1</cp:revision>
  <dcterms:created xsi:type="dcterms:W3CDTF">2015-05-19T08:26:00Z</dcterms:created>
  <dcterms:modified xsi:type="dcterms:W3CDTF">2015-05-19T08:29:00Z</dcterms:modified>
</cp:coreProperties>
</file>